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BA341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>9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</w:t>
      </w:r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    </w:t>
      </w:r>
      <w:bookmarkStart w:id="0" w:name="_GoBack"/>
      <w:bookmarkEnd w:id="0"/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7B7A58" w:rsidRPr="007B7A5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R1-2203212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073FB0">
        <w:rPr>
          <w:rFonts w:ascii="Arial" w:eastAsia="宋体" w:hAnsi="Arial" w:cs="Arial"/>
          <w:b/>
          <w:bCs/>
          <w:kern w:val="0"/>
          <w:sz w:val="22"/>
          <w:lang w:val="x-none"/>
        </w:rPr>
        <w:t>May</w:t>
      </w:r>
      <w:r w:rsidR="00761B07" w:rsidRPr="00761B07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073FB0">
        <w:rPr>
          <w:rFonts w:ascii="Arial" w:eastAsia="宋体" w:hAnsi="Arial" w:cs="Arial"/>
          <w:b/>
          <w:bCs/>
          <w:kern w:val="0"/>
          <w:sz w:val="22"/>
          <w:lang w:val="x-none"/>
        </w:rPr>
        <w:t>9</w:t>
      </w:r>
      <w:r w:rsidR="00073FB0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61B07" w:rsidRPr="00761B07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073FB0">
        <w:rPr>
          <w:rFonts w:ascii="Arial" w:eastAsia="宋体" w:hAnsi="Arial" w:cs="Arial"/>
          <w:b/>
          <w:bCs/>
          <w:kern w:val="0"/>
          <w:sz w:val="22"/>
          <w:lang w:val="x-none"/>
        </w:rPr>
        <w:t>20</w:t>
      </w:r>
      <w:r w:rsidR="00073FB0" w:rsidRPr="00073FB0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 xml:space="preserve">th </w:t>
      </w:r>
      <w:r w:rsidR="002224FF" w:rsidRPr="00073FB0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,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61B07" w:rsidRPr="00761B07">
        <w:rPr>
          <w:rFonts w:ascii="Arial" w:eastAsia="MS Mincho" w:hAnsi="Arial"/>
          <w:b/>
          <w:sz w:val="22"/>
          <w:lang w:val="x-none"/>
        </w:rPr>
        <w:t>Remaining issues for HARQ-ACK feedback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B87AD0">
        <w:rPr>
          <w:rFonts w:ascii="Arial" w:eastAsia="宋体" w:hAnsi="Arial" w:cs="Times New Roman" w:hint="eastAsia"/>
          <w:b/>
          <w:kern w:val="0"/>
          <w:sz w:val="22"/>
          <w:lang w:val="x-none"/>
        </w:rPr>
        <w:t>3.</w:t>
      </w:r>
      <w:r w:rsidR="00761B07">
        <w:rPr>
          <w:rFonts w:ascii="Arial" w:eastAsia="宋体" w:hAnsi="Arial" w:cs="Times New Roman"/>
          <w:b/>
          <w:kern w:val="0"/>
          <w:sz w:val="22"/>
          <w:lang w:val="x-none"/>
        </w:rPr>
        <w:t>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073FB0">
        <w:rPr>
          <w:rFonts w:ascii="Times New Roman" w:hAnsi="Times New Roman" w:cs="Times New Roman"/>
          <w:sz w:val="20"/>
          <w:szCs w:val="20"/>
        </w:rPr>
        <w:t>8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="00761B07" w:rsidRPr="00761B07">
        <w:rPr>
          <w:rFonts w:ascii="Times New Roman" w:hAnsi="Times New Roman" w:cs="Times New Roman"/>
          <w:sz w:val="20"/>
          <w:szCs w:val="20"/>
          <w:lang w:eastAsia="fi-FI"/>
        </w:rPr>
        <w:t xml:space="preserve">HARQ-ACK feedback enhancements 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A036C9" w:rsidRPr="00A036C9" w:rsidRDefault="00A036C9" w:rsidP="00A036C9">
      <w:pPr>
        <w:rPr>
          <w:rStyle w:val="af0"/>
          <w:rFonts w:ascii="Times New Roman" w:hAnsi="Times New Roman" w:cs="Times New Roman"/>
          <w:b w:val="0"/>
          <w:bCs w:val="0"/>
          <w:sz w:val="20"/>
          <w:szCs w:val="20"/>
          <w:highlight w:val="green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  <w:highlight w:val="green"/>
        </w:rPr>
        <w:t>Agreement</w:t>
      </w:r>
    </w:p>
    <w:p w:rsidR="00A036C9" w:rsidRPr="00A036C9" w:rsidRDefault="00A036C9" w:rsidP="00A036C9">
      <w:pPr>
        <w:rPr>
          <w:rStyle w:val="af0"/>
          <w:rFonts w:ascii="Times New Roman" w:hAnsi="Times New Roman" w:cs="Times New Roman"/>
          <w:b w:val="0"/>
          <w:bCs w:val="0"/>
          <w:sz w:val="20"/>
          <w:szCs w:val="20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</w:rPr>
        <w:t>Joint operation between PUCCH repetition and Rel-17 enhanced Type 3 HARQ-ACK CB triggering is supported in Rel-17.</w:t>
      </w:r>
    </w:p>
    <w:p w:rsidR="00A036C9" w:rsidRPr="00A036C9" w:rsidRDefault="00A036C9" w:rsidP="00A036C9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:rsidR="00A036C9" w:rsidRPr="00A036C9" w:rsidRDefault="00A036C9" w:rsidP="00A036C9">
      <w:pPr>
        <w:rPr>
          <w:rStyle w:val="af0"/>
          <w:rFonts w:ascii="Times New Roman" w:hAnsi="Times New Roman" w:cs="Times New Roman"/>
          <w:b w:val="0"/>
          <w:bCs w:val="0"/>
          <w:sz w:val="20"/>
          <w:szCs w:val="20"/>
          <w:highlight w:val="green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  <w:highlight w:val="green"/>
        </w:rPr>
        <w:t>Agreement</w:t>
      </w:r>
    </w:p>
    <w:p w:rsidR="00A036C9" w:rsidRPr="00A036C9" w:rsidRDefault="00A036C9" w:rsidP="00A036C9">
      <w:pPr>
        <w:rPr>
          <w:rFonts w:ascii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</w:rPr>
        <w:t xml:space="preserve">For one-shot HARQ-ACK re-transmission on PUCCH, triggering the HARQ-ACK CB re-transmission with a triggering DCI with CRC scrambled with the CS-RNTI is not supported. </w:t>
      </w:r>
    </w:p>
    <w:p w:rsidR="00A036C9" w:rsidRPr="00A036C9" w:rsidRDefault="00A036C9" w:rsidP="00A036C9">
      <w:pPr>
        <w:rPr>
          <w:rFonts w:ascii="Times New Roman" w:hAnsi="Times New Roman" w:cs="Times New Roman"/>
          <w:sz w:val="20"/>
          <w:szCs w:val="20"/>
        </w:rPr>
      </w:pPr>
    </w:p>
    <w:p w:rsidR="00A036C9" w:rsidRPr="00A036C9" w:rsidRDefault="00A036C9" w:rsidP="00A036C9">
      <w:pPr>
        <w:rPr>
          <w:rStyle w:val="af0"/>
          <w:rFonts w:ascii="Times New Roman" w:hAnsi="Times New Roman" w:cs="Times New Roman"/>
          <w:b w:val="0"/>
          <w:bCs w:val="0"/>
          <w:sz w:val="20"/>
          <w:szCs w:val="20"/>
          <w:highlight w:val="green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  <w:highlight w:val="green"/>
        </w:rPr>
        <w:t>Agreement</w:t>
      </w:r>
    </w:p>
    <w:p w:rsidR="00A036C9" w:rsidRPr="00A036C9" w:rsidRDefault="00A036C9" w:rsidP="00A036C9">
      <w:pPr>
        <w:rPr>
          <w:rFonts w:ascii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</w:rPr>
        <w:t>Support joint operation of Rel-17 Intra-UE multiplexing and one-shot HARQ re-tx in Rel-17</w:t>
      </w:r>
    </w:p>
    <w:p w:rsidR="00A036C9" w:rsidRPr="00A036C9" w:rsidRDefault="00A036C9" w:rsidP="00A036C9">
      <w:pPr>
        <w:widowControl/>
        <w:numPr>
          <w:ilvl w:val="0"/>
          <w:numId w:val="13"/>
        </w:numPr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One-shot HARQ retransmission is be handled per physical layer priority following the  existing agreements in step 1, i.e.</w:t>
      </w:r>
    </w:p>
    <w:p w:rsidR="00A036C9" w:rsidRPr="00A036C9" w:rsidRDefault="00A036C9" w:rsidP="00A036C9">
      <w:pPr>
        <w:widowControl/>
        <w:numPr>
          <w:ilvl w:val="1"/>
          <w:numId w:val="13"/>
        </w:numPr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Only the HARQ-ACK CB of the indicated PHY priority in one-shot HARQ-ACK triggering DCI is triggered for one-shot HARQ-ACK CB re-transmission</w:t>
      </w:r>
    </w:p>
    <w:p w:rsidR="00A036C9" w:rsidRPr="00A036C9" w:rsidRDefault="00A036C9" w:rsidP="00A036C9">
      <w:pPr>
        <w:widowControl/>
        <w:numPr>
          <w:ilvl w:val="1"/>
          <w:numId w:val="13"/>
        </w:numPr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The ‘backward HARQ-ACK slot-offset’ is interpreted with the granularity of a PUCCH slot of the respective PHY priority of step 1 of PCell /PSCell / PUCCH SCell</w:t>
      </w:r>
    </w:p>
    <w:p w:rsidR="00A036C9" w:rsidRPr="00A036C9" w:rsidRDefault="00A036C9" w:rsidP="00A036C9">
      <w:pPr>
        <w:widowControl/>
        <w:numPr>
          <w:ilvl w:val="1"/>
          <w:numId w:val="13"/>
        </w:numPr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The UE does not expect more than one triggering DCI for Rel-17 one-shot feedback indicating the same PUCCH slot of a certain PHY priority in step 1 for the re-transmission of HARQ-ACK CBs of different PUCCH slots to be re-transmitted.</w:t>
      </w:r>
    </w:p>
    <w:p w:rsidR="00A036C9" w:rsidRPr="00A036C9" w:rsidRDefault="00A036C9" w:rsidP="00A036C9">
      <w:pPr>
        <w:widowControl/>
        <w:numPr>
          <w:ilvl w:val="0"/>
          <w:numId w:val="13"/>
        </w:numPr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 xml:space="preserve">After the one-shot HARQ-ACK re-transmission operation in step1, the UE continues in step 2 of the Rel-17 Intra-UE multiplexing framework </w:t>
      </w:r>
    </w:p>
    <w:p w:rsidR="00A036C9" w:rsidRPr="00A036C9" w:rsidRDefault="00A036C9" w:rsidP="00A036C9">
      <w:pPr>
        <w:widowControl/>
        <w:numPr>
          <w:ilvl w:val="1"/>
          <w:numId w:val="13"/>
        </w:numPr>
        <w:jc w:val="lef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color w:val="000000"/>
          <w:sz w:val="20"/>
          <w:szCs w:val="20"/>
        </w:rPr>
        <w:t>There are no further restrictions imposed, e.g. multiplexing of one or a combination of LP HARQ-ACK CBs, including LP Type1 CB/Type2 CB /one-shot re-transmission CB, with one or a combination of HP HARQ-ACK CBs, including HP Type1 CB/Type2 CB /one-shot re-transmission CB in step 2 is not precluded.</w:t>
      </w:r>
    </w:p>
    <w:p w:rsidR="00A036C9" w:rsidRPr="00A036C9" w:rsidRDefault="00A036C9" w:rsidP="00A036C9">
      <w:pPr>
        <w:rPr>
          <w:rFonts w:ascii="Times New Roman" w:hAnsi="Times New Roman" w:cs="Times New Roman"/>
          <w:sz w:val="20"/>
          <w:szCs w:val="20"/>
        </w:rPr>
      </w:pPr>
    </w:p>
    <w:p w:rsidR="00A036C9" w:rsidRPr="00A036C9" w:rsidRDefault="00A036C9" w:rsidP="00A036C9">
      <w:pPr>
        <w:rPr>
          <w:rStyle w:val="af0"/>
          <w:rFonts w:ascii="Times New Roman" w:hAnsi="Times New Roman" w:cs="Times New Roman"/>
          <w:b w:val="0"/>
          <w:bCs w:val="0"/>
          <w:sz w:val="20"/>
          <w:szCs w:val="20"/>
          <w:highlight w:val="green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  <w:highlight w:val="green"/>
        </w:rPr>
        <w:t>Agreement</w:t>
      </w:r>
    </w:p>
    <w:p w:rsidR="00A036C9" w:rsidRPr="00A036C9" w:rsidRDefault="00A036C9" w:rsidP="00A036C9">
      <w:pPr>
        <w:rPr>
          <w:rFonts w:ascii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hAnsi="Times New Roman" w:cs="Times New Roman"/>
          <w:b w:val="0"/>
          <w:sz w:val="20"/>
          <w:szCs w:val="20"/>
        </w:rPr>
        <w:t>Support joint Operation of R17 Intra-UE multiplexing and semi-static PUCCH cell switching</w:t>
      </w:r>
    </w:p>
    <w:p w:rsidR="00A036C9" w:rsidRPr="00A036C9" w:rsidRDefault="00A036C9" w:rsidP="00A036C9">
      <w:pPr>
        <w:pStyle w:val="a6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The Rel-17 Intra-UE multiplexing operation of step 1 and step 2 are performed using the determined target PUCCH cell based on the semi-static time domain pattern,</w:t>
      </w:r>
    </w:p>
    <w:p w:rsidR="00A036C9" w:rsidRPr="00A036C9" w:rsidRDefault="00A036C9" w:rsidP="00A036C9">
      <w:pPr>
        <w:pStyle w:val="a6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A036C9">
        <w:rPr>
          <w:rStyle w:val="af0"/>
          <w:rFonts w:ascii="Times New Roman" w:eastAsia="Times New Roman" w:hAnsi="Times New Roman" w:cs="Times New Roman"/>
          <w:b w:val="0"/>
          <w:sz w:val="20"/>
          <w:szCs w:val="20"/>
        </w:rPr>
        <w:t>i.e., once a target cell is determined based on the time-domain pattern due, the intra-UE multiplexing procedures can be applied to resolve collision in case of overlapping PUCCH resources on the target PUCCH cell.</w:t>
      </w:r>
    </w:p>
    <w:p w:rsidR="00857968" w:rsidRPr="00BF0013" w:rsidRDefault="00857968" w:rsidP="00857968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A036C9" w:rsidRDefault="00A036C9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In this contribution, we further provide our considerations</w:t>
      </w:r>
      <w:r w:rsidR="00F20D3B">
        <w:rPr>
          <w:rFonts w:ascii="Times New Roman" w:hAnsi="Times New Roman" w:cs="Times New Roman"/>
          <w:sz w:val="20"/>
          <w:szCs w:val="20"/>
        </w:rPr>
        <w:t xml:space="preserve"> on</w:t>
      </w:r>
      <w:r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761B07" w:rsidRPr="00761B07">
        <w:rPr>
          <w:rFonts w:ascii="Times New Roman" w:hAnsi="Times New Roman" w:cs="Times New Roman"/>
          <w:sz w:val="20"/>
          <w:szCs w:val="20"/>
          <w:lang w:eastAsia="fi-FI"/>
        </w:rPr>
        <w:t>HARQ-ACK feedback enhancements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C3547C" w:rsidRPr="00C3547C" w:rsidRDefault="00C3547C" w:rsidP="00C3547C">
      <w:pPr>
        <w:pStyle w:val="a6"/>
        <w:numPr>
          <w:ilvl w:val="1"/>
          <w:numId w:val="7"/>
        </w:numPr>
        <w:ind w:firstLineChars="0"/>
        <w:rPr>
          <w:rFonts w:ascii="Arial" w:hAnsi="Arial" w:cs="Times New Roman"/>
          <w:b/>
          <w:kern w:val="0"/>
          <w:sz w:val="24"/>
          <w:szCs w:val="20"/>
          <w:lang w:val="x-none"/>
        </w:rPr>
      </w:pPr>
      <w:r w:rsidRPr="00C3547C">
        <w:rPr>
          <w:rFonts w:ascii="Arial" w:hAnsi="Arial" w:cs="Times New Roman"/>
          <w:b/>
          <w:kern w:val="0"/>
          <w:sz w:val="24"/>
          <w:szCs w:val="20"/>
          <w:lang w:val="x-none"/>
        </w:rPr>
        <w:t>Semi-static PUCCH cell switching and PUCCH repetition</w:t>
      </w:r>
    </w:p>
    <w:p w:rsidR="00A036C9" w:rsidRDefault="00A036C9" w:rsidP="00A37F9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5F7D15" w:rsidRDefault="005F7D15" w:rsidP="00A37F9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F7D1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 discussion in RAN1#10</w:t>
      </w:r>
      <w:r w:rsidR="00A036C9">
        <w:rPr>
          <w:rFonts w:ascii="Times New Roman" w:hAnsi="Times New Roman" w:cs="Times New Roman"/>
          <w:kern w:val="0"/>
          <w:sz w:val="20"/>
          <w:szCs w:val="20"/>
          <w:lang w:val="en-GB"/>
        </w:rPr>
        <w:t>8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-e meeting [2],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Pr="005F7D15">
        <w:rPr>
          <w:rFonts w:ascii="Times New Roman" w:hAnsi="Times New Roman" w:cs="Times New Roman"/>
          <w:kern w:val="0"/>
          <w:sz w:val="20"/>
          <w:szCs w:val="20"/>
          <w:lang w:val="en-GB"/>
        </w:rPr>
        <w:t>or semi-static PUCCH cell switching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PUCCH repetition</w:t>
      </w:r>
      <w:r w:rsidRPr="005F7D15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82446F" w:rsidRPr="0082446F">
        <w:rPr>
          <w:iCs/>
        </w:rPr>
        <w:t xml:space="preserve"> </w:t>
      </w:r>
      <w:r w:rsidR="0082446F" w:rsidRPr="0082446F">
        <w:rPr>
          <w:rFonts w:ascii="Times New Roman" w:hAnsi="Times New Roman" w:cs="Times New Roman"/>
          <w:kern w:val="0"/>
          <w:sz w:val="20"/>
          <w:szCs w:val="20"/>
          <w:lang w:val="en-GB"/>
        </w:rPr>
        <w:t>the following proposal was proposed during the email discussion</w:t>
      </w:r>
      <w:r w:rsidR="00C506A4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2446F" w:rsidTr="0082446F">
        <w:tc>
          <w:tcPr>
            <w:tcW w:w="9060" w:type="dxa"/>
          </w:tcPr>
          <w:p w:rsidR="00A036C9" w:rsidRPr="00270A70" w:rsidRDefault="00A036C9" w:rsidP="00A036C9">
            <w:pPr>
              <w:spacing w:line="259" w:lineRule="auto"/>
              <w:rPr>
                <w:rFonts w:eastAsia="Calibri"/>
                <w:b/>
                <w:bCs/>
                <w:sz w:val="22"/>
                <w:szCs w:val="22"/>
                <w:lang w:eastAsia="zh-CN"/>
              </w:rPr>
            </w:pPr>
            <w:r w:rsidRPr="00270A70">
              <w:rPr>
                <w:rFonts w:eastAsia="Calibri"/>
                <w:b/>
                <w:bCs/>
                <w:sz w:val="22"/>
                <w:szCs w:val="22"/>
                <w:highlight w:val="yellow"/>
                <w:lang w:eastAsia="zh-CN"/>
              </w:rPr>
              <w:t>Proposal 6.2.3:</w:t>
            </w:r>
            <w:r w:rsidRPr="00270A70">
              <w:rPr>
                <w:rFonts w:eastAsia="Calibri"/>
                <w:b/>
                <w:bCs/>
                <w:sz w:val="22"/>
                <w:szCs w:val="22"/>
                <w:lang w:eastAsia="zh-CN"/>
              </w:rPr>
              <w:t xml:space="preserve"> Support joint operation of PUCCH repetition and dynamic PUCCH carrier switching in Rel-17. </w:t>
            </w:r>
          </w:p>
          <w:p w:rsidR="0082446F" w:rsidRPr="00A036C9" w:rsidRDefault="00A036C9" w:rsidP="00A036C9">
            <w:pPr>
              <w:widowControl/>
              <w:numPr>
                <w:ilvl w:val="0"/>
                <w:numId w:val="15"/>
              </w:numPr>
              <w:spacing w:after="160" w:line="259" w:lineRule="auto"/>
              <w:contextualSpacing/>
              <w:jc w:val="left"/>
              <w:rPr>
                <w:rFonts w:eastAsia="Calibri"/>
                <w:b/>
                <w:bCs/>
                <w:sz w:val="22"/>
                <w:szCs w:val="22"/>
                <w:lang w:eastAsia="zh-CN"/>
              </w:rPr>
            </w:pPr>
            <w:r w:rsidRPr="00270A70">
              <w:rPr>
                <w:rFonts w:eastAsia="Calibri"/>
                <w:b/>
                <w:bCs/>
                <w:sz w:val="22"/>
                <w:szCs w:val="22"/>
                <w:lang w:eastAsia="zh-CN"/>
              </w:rPr>
              <w:lastRenderedPageBreak/>
              <w:t xml:space="preserve">The PUCCH cell indication in the DCI scheduling the PUCCH is applicable for all the PUCCH repetitions. </w:t>
            </w:r>
          </w:p>
        </w:tc>
      </w:tr>
    </w:tbl>
    <w:p w:rsidR="0082446F" w:rsidRDefault="0082446F" w:rsidP="00A37F9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3453BC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From our perspective, </w:t>
      </w:r>
      <w:r w:rsidR="003453BC" w:rsidRPr="003453BC">
        <w:rPr>
          <w:rFonts w:ascii="Times New Roman" w:hAnsi="Times New Roman" w:cs="Times New Roman"/>
          <w:sz w:val="20"/>
        </w:rPr>
        <w:t>PUCCH carrier switching provides the low latency and PUCCH repetitions provides the high reliability. Both features are valuable for URLLC.</w:t>
      </w:r>
      <w:r w:rsidR="003453BC">
        <w:rPr>
          <w:rFonts w:ascii="Times New Roman" w:hAnsi="Times New Roman" w:cs="Times New Roman"/>
          <w:kern w:val="0"/>
          <w:sz w:val="20"/>
          <w:szCs w:val="20"/>
        </w:rPr>
        <w:t xml:space="preserve"> In order to guarantee the high reliability, 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>any repetition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shouldn’t be dropped 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>d</w:t>
      </w:r>
      <w:r>
        <w:rPr>
          <w:rFonts w:ascii="Times New Roman" w:hAnsi="Times New Roman" w:cs="Times New Roman"/>
          <w:kern w:val="0"/>
          <w:sz w:val="20"/>
          <w:szCs w:val="20"/>
        </w:rPr>
        <w:t>ue to an invalid PUCCH slot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 xml:space="preserve">. Therefore,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above proposal 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RAN1#10</w:t>
      </w:r>
      <w:r w:rsidR="00A036C9">
        <w:rPr>
          <w:rFonts w:ascii="Times New Roman" w:hAnsi="Times New Roman" w:cs="Times New Roman"/>
          <w:kern w:val="0"/>
          <w:sz w:val="20"/>
          <w:szCs w:val="20"/>
          <w:lang w:val="en-GB"/>
        </w:rPr>
        <w:t>8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-e meeting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>can be considered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 xml:space="preserve">and </w:t>
      </w:r>
      <w:r>
        <w:rPr>
          <w:rFonts w:ascii="Times New Roman" w:hAnsi="Times New Roman" w:cs="Times New Roman"/>
          <w:kern w:val="0"/>
          <w:sz w:val="20"/>
          <w:szCs w:val="20"/>
        </w:rPr>
        <w:t>t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 xml:space="preserve">his </w:t>
      </w:r>
      <w:r w:rsidR="00591825">
        <w:rPr>
          <w:rFonts w:ascii="Times New Roman" w:hAnsi="Times New Roman" w:cs="Times New Roman"/>
          <w:kern w:val="0"/>
          <w:sz w:val="20"/>
          <w:szCs w:val="20"/>
        </w:rPr>
        <w:t>ensure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 xml:space="preserve">s the number of repetitions and </w:t>
      </w:r>
      <w:r w:rsidR="00591825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Pr="0082446F">
        <w:rPr>
          <w:rFonts w:ascii="Times New Roman" w:hAnsi="Times New Roman" w:cs="Times New Roman"/>
          <w:kern w:val="0"/>
          <w:sz w:val="20"/>
          <w:szCs w:val="20"/>
        </w:rPr>
        <w:t>same latency as Rel-16.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 xml:space="preserve"> In addition,</w:t>
      </w:r>
      <w:r w:rsidR="00A036C9" w:rsidRPr="00A036C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>PUCCH repetition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 xml:space="preserve"> transmission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 xml:space="preserve"> different target PUCCH cells 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>for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 xml:space="preserve"> the semi-static PUCCH pattern </w:t>
      </w:r>
      <w:r w:rsidR="00A036C9">
        <w:rPr>
          <w:rFonts w:ascii="Times New Roman" w:hAnsi="Times New Roman" w:cs="Times New Roman" w:hint="eastAsia"/>
          <w:kern w:val="0"/>
          <w:sz w:val="20"/>
          <w:szCs w:val="20"/>
        </w:rPr>
        <w:t>introduces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036C9">
        <w:rPr>
          <w:rFonts w:ascii="Times New Roman" w:hAnsi="Times New Roman" w:cs="Times New Roman" w:hint="eastAsia"/>
          <w:kern w:val="0"/>
          <w:sz w:val="20"/>
          <w:szCs w:val="20"/>
        </w:rPr>
        <w:t>more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036C9">
        <w:rPr>
          <w:rFonts w:ascii="Times New Roman" w:hAnsi="Times New Roman" w:cs="Times New Roman"/>
          <w:kern w:val="0"/>
          <w:sz w:val="20"/>
          <w:szCs w:val="20"/>
        </w:rPr>
        <w:t>implementation complexity</w:t>
      </w:r>
      <w:r w:rsidR="00A036C9" w:rsidRPr="0082446F">
        <w:rPr>
          <w:rFonts w:ascii="Times New Roman" w:hAnsi="Times New Roman" w:cs="Times New Roman"/>
          <w:kern w:val="0"/>
          <w:sz w:val="20"/>
          <w:szCs w:val="20"/>
        </w:rPr>
        <w:t>.</w:t>
      </w:r>
    </w:p>
    <w:p w:rsidR="003453BC" w:rsidRPr="003453BC" w:rsidRDefault="00A37F92" w:rsidP="003453BC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1: </w:t>
      </w:r>
      <w:r w:rsidR="003453BC" w:rsidRPr="003453B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Support joint operation of PUCCH repetition and dynamic PUCCH carrier switching in Rel-17. </w:t>
      </w:r>
    </w:p>
    <w:p w:rsidR="003453BC" w:rsidRPr="003453BC" w:rsidRDefault="003453BC" w:rsidP="003453BC">
      <w:pPr>
        <w:pStyle w:val="a6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53BC">
        <w:rPr>
          <w:rFonts w:ascii="Times New Roman" w:eastAsia="Calibri" w:hAnsi="Times New Roman" w:cs="Times New Roman"/>
          <w:b/>
          <w:bCs/>
          <w:kern w:val="0"/>
          <w:sz w:val="20"/>
          <w:szCs w:val="20"/>
        </w:rPr>
        <w:t>The</w:t>
      </w:r>
      <w:r w:rsidRPr="003453B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PUCCH cell indication in the DCI scheduling the PUCCH is applicable for all the PUCCH repetitions.</w:t>
      </w:r>
    </w:p>
    <w:p w:rsidR="003453BC" w:rsidRDefault="003453BC" w:rsidP="003453BC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A578C0" w:rsidRPr="004A06BE" w:rsidRDefault="00A578C0" w:rsidP="003453BC">
      <w:pPr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8331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C506A4" w:rsidRPr="00C506A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HARQ-ACK feedback enhancements</w:t>
      </w:r>
      <w:r w:rsidR="00C506A4" w:rsidRPr="00C506A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with the following proposal.</w:t>
      </w:r>
    </w:p>
    <w:p w:rsidR="003453BC" w:rsidRPr="003453BC" w:rsidRDefault="003453BC" w:rsidP="003453BC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A37F9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1: </w:t>
      </w:r>
      <w:r w:rsidRPr="003453B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Support joint operation of PUCCH repetition and dynamic PUCCH carrier switching in Rel-17. </w:t>
      </w:r>
    </w:p>
    <w:p w:rsidR="003453BC" w:rsidRPr="003453BC" w:rsidRDefault="003453BC" w:rsidP="003453BC">
      <w:pPr>
        <w:pStyle w:val="a6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53BC">
        <w:rPr>
          <w:rFonts w:ascii="Times New Roman" w:eastAsia="Calibri" w:hAnsi="Times New Roman" w:cs="Times New Roman"/>
          <w:b/>
          <w:bCs/>
          <w:kern w:val="0"/>
          <w:sz w:val="20"/>
          <w:szCs w:val="20"/>
        </w:rPr>
        <w:t>The</w:t>
      </w:r>
      <w:r w:rsidRPr="003453B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PUCCH cell indication in the DCI scheduling the PUCCH is applicable for all the PUCCH repetitions.</w:t>
      </w:r>
    </w:p>
    <w:p w:rsidR="00A5188B" w:rsidRPr="004A06BE" w:rsidRDefault="00A5188B" w:rsidP="00481074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5F7D15" w:rsidRDefault="00BB3CEF" w:rsidP="00481074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="00073FB0">
        <w:rPr>
          <w:rFonts w:ascii="Times New Roman" w:eastAsia="宋体" w:hAnsi="Times New Roman" w:cs="Times New Roman"/>
          <w:noProof/>
          <w:sz w:val="20"/>
          <w:szCs w:val="20"/>
        </w:rPr>
        <w:t>8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73FB0">
        <w:rPr>
          <w:rFonts w:ascii="Times New Roman" w:eastAsia="宋体" w:hAnsi="Times New Roman" w:cs="Times New Roman"/>
          <w:noProof/>
          <w:sz w:val="20"/>
          <w:szCs w:val="20"/>
        </w:rPr>
        <w:t>February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="00073FB0">
        <w:rPr>
          <w:rFonts w:ascii="Times New Roman" w:eastAsia="宋体" w:hAnsi="Times New Roman" w:cs="Times New Roman"/>
          <w:noProof/>
          <w:sz w:val="20"/>
          <w:szCs w:val="20"/>
        </w:rPr>
        <w:t>21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 w:rsidR="00073FB0">
        <w:rPr>
          <w:rFonts w:ascii="Times New Roman" w:eastAsia="宋体" w:hAnsi="Times New Roman" w:cs="Times New Roman"/>
          <w:noProof/>
          <w:sz w:val="20"/>
          <w:szCs w:val="20"/>
        </w:rPr>
        <w:t>March 03rd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 w:rsidR="00761B07">
        <w:rPr>
          <w:rFonts w:ascii="Times New Roman" w:eastAsia="宋体" w:hAnsi="Times New Roman" w:cs="Times New Roman"/>
          <w:noProof/>
          <w:sz w:val="20"/>
          <w:szCs w:val="20"/>
        </w:rPr>
        <w:t>2</w:t>
      </w:r>
    </w:p>
    <w:p w:rsidR="005F7D15" w:rsidRPr="00F40D5B" w:rsidRDefault="005F7D15" w:rsidP="003453BC">
      <w:pPr>
        <w:pStyle w:val="a6"/>
        <w:widowControl/>
        <w:numPr>
          <w:ilvl w:val="0"/>
          <w:numId w:val="2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t>R1-220</w:t>
      </w:r>
      <w:r w:rsidR="003453BC">
        <w:rPr>
          <w:rFonts w:ascii="Times New Roman" w:eastAsia="宋体" w:hAnsi="Times New Roman" w:cs="Times New Roman"/>
          <w:noProof/>
          <w:sz w:val="20"/>
          <w:szCs w:val="20"/>
        </w:rPr>
        <w:t>2774</w:t>
      </w:r>
      <w:r>
        <w:rPr>
          <w:rFonts w:ascii="Times New Roman" w:eastAsia="宋体" w:hAnsi="Times New Roman" w:cs="Times New Roman"/>
          <w:noProof/>
          <w:sz w:val="20"/>
          <w:szCs w:val="20"/>
        </w:rPr>
        <w:t xml:space="preserve">, </w:t>
      </w:r>
      <w:r w:rsidR="003453BC" w:rsidRPr="003453BC">
        <w:rPr>
          <w:rFonts w:ascii="Times New Roman" w:eastAsia="宋体" w:hAnsi="Times New Roman" w:cs="Times New Roman"/>
          <w:noProof/>
          <w:sz w:val="20"/>
          <w:szCs w:val="20"/>
        </w:rPr>
        <w:t>Final moderator summary on HARQ-ACK feedback enhancements for NR Rel-17 URLLC/IIoT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Moderator</w:t>
      </w:r>
      <w:r>
        <w:rPr>
          <w:rFonts w:ascii="Times New Roman" w:eastAsia="宋体" w:hAnsi="Times New Roman" w:cs="Times New Roman"/>
          <w:noProof/>
          <w:sz w:val="20"/>
          <w:szCs w:val="20"/>
        </w:rPr>
        <w:t>（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Nokia</w:t>
      </w:r>
      <w:r>
        <w:rPr>
          <w:rFonts w:ascii="Times New Roman" w:eastAsia="宋体" w:hAnsi="Times New Roman" w:cs="Times New Roman"/>
          <w:noProof/>
          <w:sz w:val="20"/>
          <w:szCs w:val="20"/>
        </w:rPr>
        <w:t>）</w:t>
      </w:r>
    </w:p>
    <w:sectPr w:rsidR="005F7D15" w:rsidRPr="00F40D5B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3D1" w:rsidRDefault="000603D1" w:rsidP="00A578C0">
      <w:r>
        <w:separator/>
      </w:r>
    </w:p>
  </w:endnote>
  <w:endnote w:type="continuationSeparator" w:id="0">
    <w:p w:rsidR="000603D1" w:rsidRDefault="000603D1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3D1" w:rsidRDefault="000603D1" w:rsidP="00A578C0">
      <w:r>
        <w:separator/>
      </w:r>
    </w:p>
  </w:footnote>
  <w:footnote w:type="continuationSeparator" w:id="0">
    <w:p w:rsidR="000603D1" w:rsidRDefault="000603D1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08C5"/>
    <w:multiLevelType w:val="hybridMultilevel"/>
    <w:tmpl w:val="E266D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60576"/>
    <w:multiLevelType w:val="hybridMultilevel"/>
    <w:tmpl w:val="55366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114599"/>
    <w:multiLevelType w:val="hybridMultilevel"/>
    <w:tmpl w:val="709E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A5175"/>
    <w:multiLevelType w:val="hybridMultilevel"/>
    <w:tmpl w:val="89F8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018AD"/>
    <w:multiLevelType w:val="hybridMultilevel"/>
    <w:tmpl w:val="26DE5E4A"/>
    <w:lvl w:ilvl="0" w:tplc="3788B37C">
      <w:start w:val="5"/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1581F"/>
    <w:multiLevelType w:val="hybridMultilevel"/>
    <w:tmpl w:val="A582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5F6410"/>
    <w:multiLevelType w:val="hybridMultilevel"/>
    <w:tmpl w:val="09F41D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1EE1501"/>
    <w:multiLevelType w:val="hybridMultilevel"/>
    <w:tmpl w:val="F0BCF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F39A7"/>
    <w:multiLevelType w:val="hybridMultilevel"/>
    <w:tmpl w:val="DF1A7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C2D36"/>
    <w:multiLevelType w:val="hybridMultilevel"/>
    <w:tmpl w:val="E6945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872DB0"/>
    <w:multiLevelType w:val="hybridMultilevel"/>
    <w:tmpl w:val="EB5C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B216EA"/>
    <w:multiLevelType w:val="hybridMultilevel"/>
    <w:tmpl w:val="04AC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86097"/>
    <w:multiLevelType w:val="multilevel"/>
    <w:tmpl w:val="E53E0ED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Theme="minorEastAsia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6"/>
  </w:num>
  <w:num w:numId="6">
    <w:abstractNumId w:val="10"/>
  </w:num>
  <w:num w:numId="7">
    <w:abstractNumId w:val="15"/>
  </w:num>
  <w:num w:numId="8">
    <w:abstractNumId w:val="9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1"/>
  </w:num>
  <w:num w:numId="14">
    <w:abstractNumId w:val="0"/>
  </w:num>
  <w:num w:numId="15">
    <w:abstractNumId w:val="12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3"/>
    <w:rsid w:val="00003437"/>
    <w:rsid w:val="00003872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3D1"/>
    <w:rsid w:val="000605E6"/>
    <w:rsid w:val="00062A9E"/>
    <w:rsid w:val="00063E0D"/>
    <w:rsid w:val="00066A85"/>
    <w:rsid w:val="000701F9"/>
    <w:rsid w:val="00071D3E"/>
    <w:rsid w:val="00073FB0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3600"/>
    <w:rsid w:val="001A5C5A"/>
    <w:rsid w:val="001A657B"/>
    <w:rsid w:val="001A6A0A"/>
    <w:rsid w:val="001A6A3D"/>
    <w:rsid w:val="001B3F67"/>
    <w:rsid w:val="001B5300"/>
    <w:rsid w:val="001C54ED"/>
    <w:rsid w:val="001C6508"/>
    <w:rsid w:val="001C7237"/>
    <w:rsid w:val="001D1E03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2402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1B8"/>
    <w:rsid w:val="002D18F5"/>
    <w:rsid w:val="002D5079"/>
    <w:rsid w:val="002E08D1"/>
    <w:rsid w:val="002E3930"/>
    <w:rsid w:val="002F0A21"/>
    <w:rsid w:val="002F7346"/>
    <w:rsid w:val="003018B7"/>
    <w:rsid w:val="00307FB0"/>
    <w:rsid w:val="00310B68"/>
    <w:rsid w:val="00316F69"/>
    <w:rsid w:val="00320D92"/>
    <w:rsid w:val="00321210"/>
    <w:rsid w:val="003214F4"/>
    <w:rsid w:val="00321B0B"/>
    <w:rsid w:val="003224A7"/>
    <w:rsid w:val="00340FD3"/>
    <w:rsid w:val="00343302"/>
    <w:rsid w:val="003453BC"/>
    <w:rsid w:val="003454E3"/>
    <w:rsid w:val="003525D2"/>
    <w:rsid w:val="00352A44"/>
    <w:rsid w:val="00357E2C"/>
    <w:rsid w:val="00362F05"/>
    <w:rsid w:val="003635EF"/>
    <w:rsid w:val="00366B60"/>
    <w:rsid w:val="0036751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3F72B5"/>
    <w:rsid w:val="00402D1D"/>
    <w:rsid w:val="00402D66"/>
    <w:rsid w:val="004051D9"/>
    <w:rsid w:val="00413292"/>
    <w:rsid w:val="00415A15"/>
    <w:rsid w:val="00417EC0"/>
    <w:rsid w:val="00420E3F"/>
    <w:rsid w:val="00433ED1"/>
    <w:rsid w:val="0043443E"/>
    <w:rsid w:val="00443F5F"/>
    <w:rsid w:val="00444225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074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DA0"/>
    <w:rsid w:val="00534E57"/>
    <w:rsid w:val="00535B1A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1825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5F7D15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C0184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513F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61B07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B7A58"/>
    <w:rsid w:val="007C6E02"/>
    <w:rsid w:val="007C7FDA"/>
    <w:rsid w:val="007D1D7F"/>
    <w:rsid w:val="007E1FDD"/>
    <w:rsid w:val="007E22A1"/>
    <w:rsid w:val="007E7E28"/>
    <w:rsid w:val="007E7F51"/>
    <w:rsid w:val="007F3436"/>
    <w:rsid w:val="007F35D2"/>
    <w:rsid w:val="007F64AB"/>
    <w:rsid w:val="007F7CAF"/>
    <w:rsid w:val="00800355"/>
    <w:rsid w:val="00802572"/>
    <w:rsid w:val="00812625"/>
    <w:rsid w:val="0082446F"/>
    <w:rsid w:val="00836346"/>
    <w:rsid w:val="00837909"/>
    <w:rsid w:val="008423E4"/>
    <w:rsid w:val="00843BFB"/>
    <w:rsid w:val="00843D5F"/>
    <w:rsid w:val="00850D43"/>
    <w:rsid w:val="00851459"/>
    <w:rsid w:val="00855F2C"/>
    <w:rsid w:val="00857968"/>
    <w:rsid w:val="00864061"/>
    <w:rsid w:val="008770C2"/>
    <w:rsid w:val="00877D6E"/>
    <w:rsid w:val="00883DCA"/>
    <w:rsid w:val="00884961"/>
    <w:rsid w:val="00885BC5"/>
    <w:rsid w:val="00893684"/>
    <w:rsid w:val="00893B50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67B8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036C9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37F92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395E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53DC0"/>
    <w:rsid w:val="00B608D2"/>
    <w:rsid w:val="00B6162D"/>
    <w:rsid w:val="00B6462B"/>
    <w:rsid w:val="00B6664C"/>
    <w:rsid w:val="00B66E0F"/>
    <w:rsid w:val="00B70C65"/>
    <w:rsid w:val="00B7145D"/>
    <w:rsid w:val="00B7490D"/>
    <w:rsid w:val="00B8388E"/>
    <w:rsid w:val="00B87AD0"/>
    <w:rsid w:val="00B9571E"/>
    <w:rsid w:val="00B96E2E"/>
    <w:rsid w:val="00BA341E"/>
    <w:rsid w:val="00BA3452"/>
    <w:rsid w:val="00BB3CEF"/>
    <w:rsid w:val="00BC1B55"/>
    <w:rsid w:val="00BC1C38"/>
    <w:rsid w:val="00BC5DCB"/>
    <w:rsid w:val="00BF0013"/>
    <w:rsid w:val="00C038AE"/>
    <w:rsid w:val="00C11E46"/>
    <w:rsid w:val="00C17161"/>
    <w:rsid w:val="00C32876"/>
    <w:rsid w:val="00C33030"/>
    <w:rsid w:val="00C33AFB"/>
    <w:rsid w:val="00C3547C"/>
    <w:rsid w:val="00C42295"/>
    <w:rsid w:val="00C42B12"/>
    <w:rsid w:val="00C5061B"/>
    <w:rsid w:val="00C506A4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55C7"/>
    <w:rsid w:val="00D06C39"/>
    <w:rsid w:val="00D07BFB"/>
    <w:rsid w:val="00D25DF4"/>
    <w:rsid w:val="00D306D5"/>
    <w:rsid w:val="00D30B4E"/>
    <w:rsid w:val="00D30C14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6593"/>
    <w:rsid w:val="00DF7A6B"/>
    <w:rsid w:val="00E00DE7"/>
    <w:rsid w:val="00E04E85"/>
    <w:rsid w:val="00E05CD9"/>
    <w:rsid w:val="00E0672B"/>
    <w:rsid w:val="00E20D04"/>
    <w:rsid w:val="00E21B74"/>
    <w:rsid w:val="00E24F84"/>
    <w:rsid w:val="00E263B7"/>
    <w:rsid w:val="00E33082"/>
    <w:rsid w:val="00E3364B"/>
    <w:rsid w:val="00E34712"/>
    <w:rsid w:val="00E366DE"/>
    <w:rsid w:val="00E506A3"/>
    <w:rsid w:val="00E61116"/>
    <w:rsid w:val="00E7005E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0D3B"/>
    <w:rsid w:val="00F2324F"/>
    <w:rsid w:val="00F25BDD"/>
    <w:rsid w:val="00F26607"/>
    <w:rsid w:val="00F2770D"/>
    <w:rsid w:val="00F32A16"/>
    <w:rsid w:val="00F36470"/>
    <w:rsid w:val="00F37715"/>
    <w:rsid w:val="00F40D5B"/>
    <w:rsid w:val="00F42A0C"/>
    <w:rsid w:val="00F45EFC"/>
    <w:rsid w:val="00F56FB3"/>
    <w:rsid w:val="00F63208"/>
    <w:rsid w:val="00F63B30"/>
    <w:rsid w:val="00F63C64"/>
    <w:rsid w:val="00F64E9B"/>
    <w:rsid w:val="00F6572D"/>
    <w:rsid w:val="00F83318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character" w:styleId="af0">
    <w:name w:val="Strong"/>
    <w:basedOn w:val="a0"/>
    <w:uiPriority w:val="22"/>
    <w:qFormat/>
    <w:rsid w:val="00A036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26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F8E16-A2C1-435B-8F48-F4D19139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629</Words>
  <Characters>3587</Characters>
  <Application>Microsoft Office Word</Application>
  <DocSecurity>0</DocSecurity>
  <Lines>29</Lines>
  <Paragraphs>8</Paragraphs>
  <ScaleCrop>false</ScaleCrop>
  <Company>CATT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5</cp:revision>
  <dcterms:created xsi:type="dcterms:W3CDTF">2022-04-02T11:52:00Z</dcterms:created>
  <dcterms:modified xsi:type="dcterms:W3CDTF">2022-04-13T15:25:00Z</dcterms:modified>
</cp:coreProperties>
</file>